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FCE4" w14:textId="77777777" w:rsidR="00410E14" w:rsidRPr="005251C6" w:rsidRDefault="00410E14" w:rsidP="005251C6">
      <w:pPr>
        <w:spacing w:line="360" w:lineRule="auto"/>
        <w:rPr>
          <w:rFonts w:ascii="Helvetica" w:hAnsi="Helvetica"/>
          <w:sz w:val="22"/>
          <w:szCs w:val="22"/>
        </w:rPr>
      </w:pPr>
    </w:p>
    <w:p w14:paraId="49EDF388" w14:textId="7EE15DF1" w:rsidR="002A6D83" w:rsidRPr="005251C6" w:rsidRDefault="00410E14" w:rsidP="005251C6">
      <w:pPr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  <w:r w:rsidRPr="005251C6">
        <w:rPr>
          <w:rFonts w:ascii="Helvetica" w:eastAsia="Times New Roman" w:hAnsi="Helvetica" w:cs="Times New Roman"/>
          <w:b/>
          <w:i/>
          <w:color w:val="1D2129"/>
          <w:shd w:val="clear" w:color="auto" w:fill="FFFFFF"/>
        </w:rPr>
        <w:t>Syncretic Visions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is</w:t>
      </w:r>
      <w:r w:rsidR="00A463A2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comprised of works that traverse the notions of 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Buddhism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,</w:t>
      </w:r>
      <w:r w:rsidR="00A463A2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Daoism</w:t>
      </w:r>
      <w:r w:rsidR="00A463A2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and Christianity. It investigates the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</w:t>
      </w:r>
      <w:r w:rsidR="00A463A2" w:rsidRPr="005251C6">
        <w:rPr>
          <w:rFonts w:ascii="Helvetica" w:eastAsia="Times New Roman" w:hAnsi="Helvetica" w:cs="Times New Roman"/>
          <w:i/>
          <w:color w:val="1D2129"/>
          <w:sz w:val="22"/>
          <w:szCs w:val="22"/>
          <w:shd w:val="clear" w:color="auto" w:fill="FFFFFF"/>
        </w:rPr>
        <w:t>East</w:t>
      </w:r>
      <w:r w:rsidR="00A463A2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and </w:t>
      </w:r>
      <w:r w:rsidR="00A463A2" w:rsidRPr="005251C6">
        <w:rPr>
          <w:rFonts w:ascii="Helvetica" w:eastAsia="Times New Roman" w:hAnsi="Helvetica" w:cs="Times New Roman"/>
          <w:i/>
          <w:color w:val="1D2129"/>
          <w:sz w:val="22"/>
          <w:szCs w:val="22"/>
          <w:shd w:val="clear" w:color="auto" w:fill="FFFFFF"/>
        </w:rPr>
        <w:t>West</w:t>
      </w:r>
      <w:r w:rsidR="00A463A2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cultures and ideologies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through the sculptural painting 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flair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of Fan.</w:t>
      </w:r>
      <w:r w:rsidR="008D766F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D74D66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>This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cross cultural, multidimensional shift of perspective</w:t>
      </w:r>
      <w:r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and syncretic visual interpretation of religions and other matters, challenges often contradictory beliefs, philosophies, cultures and schools of thought.</w:t>
      </w:r>
      <w:r w:rsidR="008D766F" w:rsidRPr="005251C6"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  <w:t xml:space="preserve"> Through this juxtaposition a dialogue is created as 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>subjects</w:t>
      </w:r>
      <w:r w:rsidR="002A6D83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ar</w:t>
      </w:r>
      <w:r w:rsidR="00A463A2" w:rsidRPr="005251C6">
        <w:rPr>
          <w:rFonts w:ascii="Helvetica" w:hAnsi="Helvetica" w:cs="Arial"/>
          <w:color w:val="000000"/>
          <w:sz w:val="22"/>
          <w:szCs w:val="22"/>
          <w:lang w:val="en-US"/>
        </w:rPr>
        <w:t>e merged with an array of</w:t>
      </w:r>
      <w:r w:rsidR="002A6D83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cultural </w:t>
      </w:r>
      <w:r w:rsidR="00A463A2" w:rsidRPr="005251C6">
        <w:rPr>
          <w:rFonts w:ascii="Helvetica" w:hAnsi="Helvetica" w:cs="Arial"/>
          <w:color w:val="000000"/>
          <w:sz w:val="22"/>
          <w:szCs w:val="22"/>
          <w:lang w:val="en-US"/>
        </w:rPr>
        <w:t>semiotics drawn from elements such as brocade print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, screens, the dragon 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>and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the crucifix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, relaying the </w:t>
      </w:r>
      <w:r w:rsidR="008D766F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metaphors 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within Fan’s </w:t>
      </w:r>
      <w:r w:rsidR="002A6D83" w:rsidRPr="005251C6">
        <w:rPr>
          <w:rFonts w:ascii="Helvetica" w:hAnsi="Helvetica" w:cs="Arial"/>
          <w:color w:val="000000"/>
          <w:sz w:val="22"/>
          <w:szCs w:val="22"/>
          <w:lang w:val="en-US"/>
        </w:rPr>
        <w:t>painting</w:t>
      </w:r>
      <w:r w:rsidR="008D766F" w:rsidRPr="005251C6">
        <w:rPr>
          <w:rFonts w:ascii="Helvetica" w:hAnsi="Helvetica" w:cs="Arial"/>
          <w:color w:val="000000"/>
          <w:sz w:val="22"/>
          <w:szCs w:val="22"/>
          <w:lang w:val="en-US"/>
        </w:rPr>
        <w:t>s.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The placement of disparate objects and religious iconography leads 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the viewer 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>to inquiry and investigation of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the 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>scaffolding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meaning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>s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within his works.</w:t>
      </w:r>
    </w:p>
    <w:p w14:paraId="15A6193F" w14:textId="77777777" w:rsidR="00D74D66" w:rsidRPr="005251C6" w:rsidRDefault="00D74D66" w:rsidP="005251C6">
      <w:pPr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</w:p>
    <w:p w14:paraId="64AA6AA7" w14:textId="5055F64A" w:rsidR="00354900" w:rsidRPr="005251C6" w:rsidRDefault="00354900" w:rsidP="005251C6">
      <w:pPr>
        <w:spacing w:line="360" w:lineRule="auto"/>
        <w:rPr>
          <w:rFonts w:ascii="Helvetica" w:eastAsia="Times New Roman" w:hAnsi="Helvetica" w:cs="Times New Roman"/>
          <w:color w:val="1D2129"/>
          <w:sz w:val="22"/>
          <w:szCs w:val="22"/>
          <w:shd w:val="clear" w:color="auto" w:fill="FFFFFF"/>
        </w:rPr>
      </w:pP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>Fan’s formal training in the Chinese art of woodcarving is a prominent influence on his painterly process, as his paintbrush becomes a knife he delicately carves the canvas creating the illusion of a low relief sculpture embodied within the acrylic medium. His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eloquent use of </w:t>
      </w:r>
      <w:proofErr w:type="spellStart"/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>colour</w:t>
      </w:r>
      <w:proofErr w:type="spellEnd"/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presents his perspective on contemporary Australian culture and distinct Chinese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visual culture, 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>arresting the Western eye to this visual communication and forging alternate perspectives.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</w:p>
    <w:p w14:paraId="082EDB85" w14:textId="77777777" w:rsidR="00354900" w:rsidRPr="005251C6" w:rsidRDefault="00354900" w:rsidP="005251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</w:p>
    <w:p w14:paraId="2C6B77C4" w14:textId="77F442EE" w:rsidR="00D74D66" w:rsidRPr="005251C6" w:rsidRDefault="005800C9" w:rsidP="005251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>As the view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er, you are invited to traverse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>the third space</w:t>
      </w:r>
      <w:r w:rsidR="003D5714" w:rsidRPr="005251C6">
        <w:rPr>
          <w:rStyle w:val="FootnoteReference"/>
          <w:rFonts w:ascii="Helvetica" w:hAnsi="Helvetica" w:cs="Arial"/>
          <w:color w:val="000000"/>
          <w:sz w:val="22"/>
          <w:szCs w:val="22"/>
          <w:lang w:val="en-US"/>
        </w:rPr>
        <w:footnoteReference w:id="1"/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through the array of works, though particularly within the </w:t>
      </w:r>
      <w:r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>Descendant Bodies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series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, 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where 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>fragmented, headless bodies lie strewn across the c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anvas with robotic like heads. T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he human form 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is perfectly sculpted referencing</w:t>
      </w:r>
      <w:r w:rsidR="000750A8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the </w:t>
      </w:r>
      <w:r w:rsidR="00D74D66"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>Renaissance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>, while a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D74D66"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>Pop Art</w:t>
      </w:r>
      <w:r w:rsidR="00354900"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 xml:space="preserve"> 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>effect is applied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354900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to the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>mechanical heads</w:t>
      </w:r>
      <w:r w:rsidR="00170862">
        <w:rPr>
          <w:rFonts w:ascii="Helvetica" w:hAnsi="Helvetica" w:cs="Arial"/>
          <w:color w:val="000000"/>
          <w:sz w:val="22"/>
          <w:szCs w:val="22"/>
          <w:lang w:val="en-US"/>
        </w:rPr>
        <w:t xml:space="preserve">, </w:t>
      </w:r>
      <w:r w:rsidR="005251C6">
        <w:rPr>
          <w:rFonts w:ascii="Helvetica" w:hAnsi="Helvetica" w:cs="Arial"/>
          <w:color w:val="000000"/>
          <w:sz w:val="22"/>
          <w:szCs w:val="22"/>
          <w:lang w:val="en-US"/>
        </w:rPr>
        <w:t>which are modeled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on the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>parts that c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omprise a </w:t>
      </w:r>
      <w:r w:rsidR="00BB3037" w:rsidRPr="005251C6">
        <w:rPr>
          <w:rFonts w:ascii="Helvetica" w:hAnsi="Helvetica" w:cs="Arial"/>
          <w:i/>
          <w:color w:val="000000"/>
          <w:sz w:val="22"/>
          <w:szCs w:val="22"/>
          <w:lang w:val="en-US"/>
        </w:rPr>
        <w:t>Transformers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toy. These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inorganic, distorted composition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s </w:t>
      </w:r>
      <w:r w:rsidR="005251C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not only reference the past and the future, </w:t>
      </w:r>
      <w:r w:rsidR="00170862" w:rsidRPr="005251C6">
        <w:rPr>
          <w:rFonts w:ascii="Helvetica" w:hAnsi="Helvetica" w:cs="Arial"/>
          <w:color w:val="000000"/>
          <w:sz w:val="22"/>
          <w:szCs w:val="22"/>
          <w:lang w:val="en-US"/>
        </w:rPr>
        <w:t>but also</w:t>
      </w:r>
      <w:r w:rsidR="005251C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>suggest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transgr</w:t>
      </w:r>
      <w:r w:rsidR="005251C6" w:rsidRPr="005251C6">
        <w:rPr>
          <w:rFonts w:ascii="Helvetica" w:hAnsi="Helvetica" w:cs="Arial"/>
          <w:color w:val="000000"/>
          <w:sz w:val="22"/>
          <w:szCs w:val="22"/>
          <w:lang w:val="en-US"/>
        </w:rPr>
        <w:t>ession in a dystopian world, w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hile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the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dichotomy 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betwe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>en this series and the disparate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relates to further discourse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around </w:t>
      </w:r>
      <w:r w:rsidR="00BB3037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transformation and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the </w:t>
      </w:r>
      <w:proofErr w:type="spellStart"/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glocal</w:t>
      </w:r>
      <w:proofErr w:type="spellEnd"/>
      <w:r w:rsidR="00D74D66" w:rsidRPr="005251C6">
        <w:rPr>
          <w:rFonts w:ascii="Helvetica" w:hAnsi="Helvetica" w:cs="Arial"/>
          <w:color w:val="000000"/>
          <w:sz w:val="22"/>
          <w:szCs w:val="22"/>
          <w:lang w:val="en-US"/>
        </w:rPr>
        <w:t>.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</w:t>
      </w:r>
    </w:p>
    <w:p w14:paraId="76C55090" w14:textId="77777777" w:rsidR="00BB3037" w:rsidRPr="005251C6" w:rsidRDefault="00BB3037" w:rsidP="005251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</w:p>
    <w:p w14:paraId="0AE9D4A7" w14:textId="75418EB5" w:rsidR="003D5714" w:rsidRPr="005251C6" w:rsidRDefault="00BB3037" w:rsidP="005251C6">
      <w:pPr>
        <w:spacing w:line="360" w:lineRule="auto"/>
        <w:rPr>
          <w:rFonts w:ascii="Helvetica" w:hAnsi="Helvetica" w:cs="Arial"/>
          <w:color w:val="000000"/>
          <w:sz w:val="22"/>
          <w:szCs w:val="22"/>
          <w:lang w:val="en-US"/>
        </w:rPr>
      </w:pP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Although </w:t>
      </w:r>
      <w:r w:rsidR="005251C6"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religious, spiritual, 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political, geopolitical and environmental messages are apparent in </w:t>
      </w:r>
      <w:r w:rsidRPr="00170862">
        <w:rPr>
          <w:rFonts w:ascii="Helvetica" w:hAnsi="Helvetica" w:cs="Arial"/>
          <w:i/>
          <w:color w:val="000000"/>
          <w:sz w:val="22"/>
          <w:szCs w:val="22"/>
          <w:lang w:val="en-US"/>
        </w:rPr>
        <w:t>Syncretic Visions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>, there is much a</w:t>
      </w:r>
      <w:r w:rsidR="003D5714" w:rsidRPr="005251C6">
        <w:rPr>
          <w:rFonts w:ascii="Helvetica" w:hAnsi="Helvetica" w:cs="Arial"/>
          <w:color w:val="000000"/>
          <w:sz w:val="22"/>
          <w:szCs w:val="22"/>
          <w:lang w:val="en-US"/>
        </w:rPr>
        <w:t>mbiguity</w:t>
      </w:r>
      <w:r w:rsidRPr="005251C6">
        <w:rPr>
          <w:rFonts w:ascii="Helvetica" w:hAnsi="Helvetica" w:cs="Arial"/>
          <w:color w:val="000000"/>
          <w:sz w:val="22"/>
          <w:szCs w:val="22"/>
          <w:lang w:val="en-US"/>
        </w:rPr>
        <w:t xml:space="preserve"> surrounding the w</w:t>
      </w:r>
      <w:r w:rsidR="00170862">
        <w:rPr>
          <w:rFonts w:ascii="Helvetica" w:hAnsi="Helvetica" w:cs="Arial"/>
          <w:color w:val="000000"/>
          <w:sz w:val="22"/>
          <w:szCs w:val="22"/>
          <w:lang w:val="en-US"/>
        </w:rPr>
        <w:t>orks. In turn, t</w:t>
      </w:r>
      <w:r w:rsidR="005251C6" w:rsidRPr="005251C6">
        <w:rPr>
          <w:rFonts w:ascii="Helvetica" w:hAnsi="Helvetica" w:cs="Arial"/>
          <w:color w:val="000000"/>
          <w:sz w:val="22"/>
          <w:szCs w:val="22"/>
          <w:lang w:val="en-US"/>
        </w:rPr>
        <w:t>he collective narrative is attest to the amalgamation of Fans eye, vision and painterly processes.</w:t>
      </w:r>
    </w:p>
    <w:p w14:paraId="11C51AEF" w14:textId="77777777" w:rsidR="006D2B09" w:rsidRPr="00792319" w:rsidRDefault="006D2B09" w:rsidP="000F7E96">
      <w:pPr>
        <w:rPr>
          <w:rFonts w:ascii="Arial" w:hAnsi="Arial"/>
        </w:rPr>
      </w:pPr>
      <w:bookmarkStart w:id="0" w:name="_GoBack"/>
      <w:bookmarkEnd w:id="0"/>
    </w:p>
    <w:p w14:paraId="5EEC8206" w14:textId="088D1975" w:rsidR="001D00B0" w:rsidRPr="00D0386A" w:rsidRDefault="00A55E65" w:rsidP="00A55E65">
      <w:pPr>
        <w:rPr>
          <w:rFonts w:ascii="Helvetica" w:hAnsi="Helvetica"/>
          <w:sz w:val="22"/>
          <w:szCs w:val="22"/>
        </w:rPr>
      </w:pPr>
      <w:proofErr w:type="gramStart"/>
      <w:r w:rsidRPr="00D0386A">
        <w:rPr>
          <w:rFonts w:ascii="Helvetica" w:hAnsi="Helvetica"/>
          <w:sz w:val="22"/>
          <w:szCs w:val="22"/>
        </w:rPr>
        <w:t>curated</w:t>
      </w:r>
      <w:proofErr w:type="gramEnd"/>
      <w:r w:rsidRPr="00D0386A">
        <w:rPr>
          <w:rFonts w:ascii="Helvetica" w:hAnsi="Helvetica"/>
          <w:sz w:val="22"/>
          <w:szCs w:val="22"/>
        </w:rPr>
        <w:t xml:space="preserve"> by Courtney Wagner</w:t>
      </w:r>
    </w:p>
    <w:p w14:paraId="283487DB" w14:textId="77777777" w:rsidR="001D00B0" w:rsidRPr="00792319" w:rsidRDefault="001D00B0" w:rsidP="001D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Calibri Bold Italic"/>
          <w:b/>
          <w:bCs/>
          <w:color w:val="FFFFFF"/>
          <w:lang w:val="en-US"/>
        </w:rPr>
      </w:pPr>
    </w:p>
    <w:p w14:paraId="22DC2107" w14:textId="77777777" w:rsidR="00A55E65" w:rsidRDefault="00A55E65" w:rsidP="00170862">
      <w:pPr>
        <w:spacing w:line="480" w:lineRule="auto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lastRenderedPageBreak/>
        <w:t xml:space="preserve">SYNCRETIC VISIONS </w:t>
      </w:r>
    </w:p>
    <w:p w14:paraId="36F3100B" w14:textId="71EBBDC4" w:rsidR="00170862" w:rsidRPr="00A55E65" w:rsidRDefault="00170862" w:rsidP="00170862">
      <w:pPr>
        <w:spacing w:line="480" w:lineRule="auto"/>
        <w:jc w:val="center"/>
        <w:rPr>
          <w:rFonts w:ascii="Helvetica" w:hAnsi="Helvetica"/>
          <w:b/>
          <w:u w:val="single"/>
        </w:rPr>
      </w:pPr>
      <w:r w:rsidRPr="00A55E65">
        <w:rPr>
          <w:rFonts w:ascii="Helvetica" w:hAnsi="Helvetica"/>
          <w:b/>
          <w:u w:val="single"/>
        </w:rPr>
        <w:t>FAN DONGWANG</w:t>
      </w:r>
    </w:p>
    <w:p w14:paraId="6FE09E79" w14:textId="77777777" w:rsidR="00170862" w:rsidRPr="00170862" w:rsidRDefault="00170862" w:rsidP="00170862">
      <w:pPr>
        <w:spacing w:line="480" w:lineRule="auto"/>
        <w:jc w:val="center"/>
        <w:rPr>
          <w:rFonts w:ascii="Helvetica" w:hAnsi="Helvetica"/>
          <w:u w:val="single"/>
        </w:rPr>
      </w:pPr>
    </w:p>
    <w:p w14:paraId="25BB3FF4" w14:textId="77777777" w:rsidR="00170862" w:rsidRPr="00170862" w:rsidRDefault="00170862" w:rsidP="00170862">
      <w:pPr>
        <w:spacing w:line="480" w:lineRule="auto"/>
        <w:rPr>
          <w:rFonts w:ascii="Helvetica" w:hAnsi="Helvetica"/>
          <w:i/>
        </w:rPr>
      </w:pPr>
    </w:p>
    <w:p w14:paraId="1B9131D5" w14:textId="7D8CF1F5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Dragon #1</w:t>
      </w:r>
      <w:r>
        <w:rPr>
          <w:rFonts w:ascii="Helvetica" w:hAnsi="Helvetica"/>
        </w:rPr>
        <w:t xml:space="preserve">, </w:t>
      </w:r>
      <w:r w:rsidRPr="00170862">
        <w:rPr>
          <w:rFonts w:ascii="Helvetica" w:hAnsi="Helvetica"/>
        </w:rPr>
        <w:t>acrylic on paper 76x76cm (unframed</w:t>
      </w:r>
      <w:proofErr w:type="gramStart"/>
      <w:r w:rsidRPr="00170862"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                              </w:t>
      </w:r>
      <w:r w:rsidRPr="00170862">
        <w:rPr>
          <w:rFonts w:ascii="Helvetica" w:hAnsi="Helvetica"/>
        </w:rPr>
        <w:t>P.O.A</w:t>
      </w:r>
      <w:proofErr w:type="gramEnd"/>
    </w:p>
    <w:p w14:paraId="2C318914" w14:textId="232B31A1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Dragon #2</w:t>
      </w:r>
      <w:r>
        <w:rPr>
          <w:rFonts w:ascii="Helvetica" w:hAnsi="Helvetica"/>
        </w:rPr>
        <w:t xml:space="preserve">, </w:t>
      </w:r>
      <w:r w:rsidRPr="00170862">
        <w:rPr>
          <w:rFonts w:ascii="Helvetica" w:hAnsi="Helvetica"/>
        </w:rPr>
        <w:t>acrylic on paper 76x76cm (unframed</w:t>
      </w:r>
      <w:proofErr w:type="gramStart"/>
      <w:r w:rsidRPr="00170862"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                              </w:t>
      </w:r>
      <w:r w:rsidRPr="00170862">
        <w:rPr>
          <w:rFonts w:ascii="Helvetica" w:hAnsi="Helvetica"/>
        </w:rPr>
        <w:t>P.O.A</w:t>
      </w:r>
      <w:proofErr w:type="gramEnd"/>
    </w:p>
    <w:p w14:paraId="03648FCC" w14:textId="4B1BAE00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Dragon #3</w:t>
      </w:r>
      <w:r>
        <w:rPr>
          <w:rFonts w:ascii="Helvetica" w:hAnsi="Helvetica"/>
        </w:rPr>
        <w:t xml:space="preserve">, </w:t>
      </w:r>
      <w:r w:rsidRPr="00170862">
        <w:rPr>
          <w:rFonts w:ascii="Helvetica" w:hAnsi="Helvetica"/>
        </w:rPr>
        <w:t>acrylic on paper 76x76cm (unframed</w:t>
      </w:r>
      <w:proofErr w:type="gramStart"/>
      <w:r w:rsidRPr="00170862"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                              </w:t>
      </w:r>
      <w:r w:rsidRPr="00170862">
        <w:rPr>
          <w:rFonts w:ascii="Helvetica" w:hAnsi="Helvetica"/>
        </w:rPr>
        <w:t>P.O.A</w:t>
      </w:r>
      <w:proofErr w:type="gramEnd"/>
    </w:p>
    <w:p w14:paraId="43ED3C2F" w14:textId="332E3B2B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Crucifixion #3</w:t>
      </w:r>
      <w:r>
        <w:rPr>
          <w:rFonts w:ascii="Helvetica" w:hAnsi="Helvetica"/>
        </w:rPr>
        <w:t xml:space="preserve">, </w:t>
      </w:r>
      <w:r w:rsidRPr="00170862">
        <w:rPr>
          <w:rFonts w:ascii="Helvetica" w:hAnsi="Helvetica"/>
        </w:rPr>
        <w:t xml:space="preserve">acrylic on canvas 100x75cm 2018 </w:t>
      </w:r>
      <w:r w:rsidR="00A55E65">
        <w:rPr>
          <w:rFonts w:ascii="Helvetica" w:hAnsi="Helvetica"/>
        </w:rPr>
        <w:t xml:space="preserve">                             </w:t>
      </w:r>
      <w:r w:rsidRPr="00170862">
        <w:rPr>
          <w:rFonts w:ascii="Helvetica" w:hAnsi="Helvetica"/>
        </w:rPr>
        <w:t>P.O.A</w:t>
      </w:r>
    </w:p>
    <w:p w14:paraId="7F2A9DF4" w14:textId="28F25324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Arhat</w:t>
      </w:r>
      <w:r w:rsidR="00A55E65">
        <w:rPr>
          <w:rFonts w:ascii="Helvetica" w:hAnsi="Helvetica"/>
        </w:rPr>
        <w:t xml:space="preserve">, </w:t>
      </w:r>
      <w:r w:rsidRPr="00170862">
        <w:rPr>
          <w:rFonts w:ascii="Helvetica" w:hAnsi="Helvetica"/>
        </w:rPr>
        <w:t xml:space="preserve">acrylic on canvas 181x124cm </w:t>
      </w:r>
      <w:r>
        <w:rPr>
          <w:rFonts w:ascii="Helvetica" w:hAnsi="Helvetica"/>
        </w:rPr>
        <w:t xml:space="preserve">                                                   </w:t>
      </w:r>
      <w:r w:rsidRPr="00170862">
        <w:rPr>
          <w:rFonts w:ascii="Helvetica" w:hAnsi="Helvetica"/>
        </w:rPr>
        <w:t>P.O.A</w:t>
      </w:r>
    </w:p>
    <w:p w14:paraId="20FA9367" w14:textId="60EBDBC7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Crucifixion #1</w:t>
      </w:r>
      <w:r w:rsidRPr="00170862">
        <w:rPr>
          <w:rFonts w:ascii="Helvetica" w:hAnsi="Helvetica"/>
        </w:rPr>
        <w:t xml:space="preserve"> acrylic on canvas, 170 x 240cm </w:t>
      </w:r>
      <w:r>
        <w:rPr>
          <w:rFonts w:ascii="Helvetica" w:hAnsi="Helvetica"/>
        </w:rPr>
        <w:t xml:space="preserve">                                   </w:t>
      </w:r>
      <w:r w:rsidRPr="00170862">
        <w:rPr>
          <w:rFonts w:ascii="Helvetica" w:hAnsi="Helvetica"/>
        </w:rPr>
        <w:t>P.O.A</w:t>
      </w:r>
    </w:p>
    <w:p w14:paraId="47F59056" w14:textId="6567484E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Dragon</w:t>
      </w:r>
      <w:r w:rsidRPr="00170862">
        <w:rPr>
          <w:rFonts w:ascii="Helvetica" w:hAnsi="Helvetica"/>
          <w:i/>
        </w:rPr>
        <w:t xml:space="preserve"> </w:t>
      </w:r>
      <w:r w:rsidRPr="00170862">
        <w:rPr>
          <w:rFonts w:ascii="Helvetica" w:hAnsi="Helvetica"/>
        </w:rPr>
        <w:t xml:space="preserve">acrylic on canvas 180x180cm </w:t>
      </w:r>
      <w:r>
        <w:rPr>
          <w:rFonts w:ascii="Helvetica" w:hAnsi="Helvetica"/>
        </w:rPr>
        <w:t xml:space="preserve">                                                </w:t>
      </w:r>
      <w:r w:rsidR="00A55E65">
        <w:rPr>
          <w:rFonts w:ascii="Helvetica" w:hAnsi="Helvetica"/>
        </w:rPr>
        <w:t xml:space="preserve"> </w:t>
      </w:r>
      <w:r w:rsidRPr="00170862">
        <w:rPr>
          <w:rFonts w:ascii="Helvetica" w:hAnsi="Helvetica"/>
        </w:rPr>
        <w:t>P.O.A</w:t>
      </w:r>
    </w:p>
    <w:p w14:paraId="72CF4148" w14:textId="77777777" w:rsidR="00170862" w:rsidRPr="00A55E65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  <w:b/>
        </w:rPr>
      </w:pPr>
      <w:r w:rsidRPr="00A55E65">
        <w:rPr>
          <w:rFonts w:ascii="Helvetica" w:hAnsi="Helvetica"/>
          <w:b/>
          <w:i/>
        </w:rPr>
        <w:t>Shifting Perspectives-Double Screens</w:t>
      </w:r>
      <w:r w:rsidRPr="00A55E65">
        <w:rPr>
          <w:rFonts w:ascii="Helvetica" w:hAnsi="Helvetica"/>
          <w:b/>
        </w:rPr>
        <w:t xml:space="preserve"> </w:t>
      </w:r>
    </w:p>
    <w:p w14:paraId="32AF1CBE" w14:textId="7CD07D63" w:rsidR="00170862" w:rsidRPr="00170862" w:rsidRDefault="00170862" w:rsidP="00170862">
      <w:pPr>
        <w:pStyle w:val="ListParagraph"/>
        <w:spacing w:after="360" w:line="480" w:lineRule="auto"/>
        <w:ind w:left="714"/>
        <w:rPr>
          <w:rFonts w:ascii="Helvetica" w:hAnsi="Helvetica"/>
        </w:rPr>
      </w:pPr>
      <w:proofErr w:type="gramStart"/>
      <w:r w:rsidRPr="00170862">
        <w:rPr>
          <w:rFonts w:ascii="Helvetica" w:hAnsi="Helvetica"/>
        </w:rPr>
        <w:t>acrylic</w:t>
      </w:r>
      <w:proofErr w:type="gramEnd"/>
      <w:r w:rsidRPr="00170862">
        <w:rPr>
          <w:rFonts w:ascii="Helvetica" w:hAnsi="Helvetica"/>
        </w:rPr>
        <w:t xml:space="preserve"> on canvas 244x180cm </w:t>
      </w:r>
      <w:r>
        <w:rPr>
          <w:rFonts w:ascii="Helvetica" w:hAnsi="Helvetica"/>
        </w:rPr>
        <w:t xml:space="preserve">                                                             </w:t>
      </w:r>
      <w:r w:rsidR="00A55E65">
        <w:rPr>
          <w:rFonts w:ascii="Helvetica" w:hAnsi="Helvetica"/>
        </w:rPr>
        <w:t xml:space="preserve">  </w:t>
      </w:r>
      <w:r w:rsidRPr="00170862">
        <w:rPr>
          <w:rFonts w:ascii="Helvetica" w:hAnsi="Helvetica"/>
        </w:rPr>
        <w:t>P.O.A</w:t>
      </w:r>
    </w:p>
    <w:p w14:paraId="02EE7547" w14:textId="1FA8FAA9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Descendant Bodies #2</w:t>
      </w:r>
      <w:r w:rsidRPr="00170862">
        <w:rPr>
          <w:rFonts w:ascii="Helvetica" w:hAnsi="Helvetica"/>
        </w:rPr>
        <w:t xml:space="preserve"> acrylic on canvas 170x280cm </w:t>
      </w:r>
      <w:r>
        <w:rPr>
          <w:rFonts w:ascii="Helvetica" w:hAnsi="Helvetica"/>
        </w:rPr>
        <w:t xml:space="preserve">                        </w:t>
      </w:r>
      <w:r w:rsidRPr="00170862">
        <w:rPr>
          <w:rFonts w:ascii="Helvetica" w:hAnsi="Helvetica"/>
        </w:rPr>
        <w:t>P.O.A</w:t>
      </w:r>
    </w:p>
    <w:p w14:paraId="1115C684" w14:textId="3F855028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Dragon In Water Triptych</w:t>
      </w:r>
      <w:r w:rsidRPr="00170862">
        <w:rPr>
          <w:rFonts w:ascii="Helvetica" w:hAnsi="Helvetica"/>
        </w:rPr>
        <w:t xml:space="preserve"> acrylic on canvas 180x420cm </w:t>
      </w:r>
      <w:r>
        <w:rPr>
          <w:rFonts w:ascii="Helvetica" w:hAnsi="Helvetica"/>
        </w:rPr>
        <w:t xml:space="preserve">                    </w:t>
      </w:r>
      <w:r w:rsidRPr="00170862">
        <w:rPr>
          <w:rFonts w:ascii="Helvetica" w:hAnsi="Helvetica"/>
        </w:rPr>
        <w:t>P.O.A</w:t>
      </w:r>
    </w:p>
    <w:p w14:paraId="0B6D5F65" w14:textId="2531A696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Descendant Bodies #3</w:t>
      </w:r>
      <w:r w:rsidRPr="00170862">
        <w:rPr>
          <w:rFonts w:ascii="Helvetica" w:hAnsi="Helvetica"/>
        </w:rPr>
        <w:t xml:space="preserve"> acrylic on canvas 170x280cm </w:t>
      </w:r>
      <w:r>
        <w:rPr>
          <w:rFonts w:ascii="Helvetica" w:hAnsi="Helvetica"/>
        </w:rPr>
        <w:t xml:space="preserve">                        </w:t>
      </w:r>
      <w:r w:rsidR="00A55E65">
        <w:rPr>
          <w:rFonts w:ascii="Helvetica" w:hAnsi="Helvetica"/>
        </w:rPr>
        <w:t xml:space="preserve"> </w:t>
      </w:r>
      <w:r w:rsidRPr="00170862">
        <w:rPr>
          <w:rFonts w:ascii="Helvetica" w:hAnsi="Helvetica"/>
        </w:rPr>
        <w:t>P.O.A</w:t>
      </w:r>
    </w:p>
    <w:p w14:paraId="7DF15AF6" w14:textId="1BEE6F54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Descendant Bodies #1</w:t>
      </w:r>
      <w:r w:rsidRPr="00170862">
        <w:rPr>
          <w:rFonts w:ascii="Helvetica" w:hAnsi="Helvetica"/>
        </w:rPr>
        <w:t xml:space="preserve"> acrylic on canvas 178x254cm </w:t>
      </w:r>
      <w:r>
        <w:rPr>
          <w:rFonts w:ascii="Helvetica" w:hAnsi="Helvetica"/>
        </w:rPr>
        <w:t xml:space="preserve">                        </w:t>
      </w:r>
      <w:r w:rsidR="00A55E65">
        <w:rPr>
          <w:rFonts w:ascii="Helvetica" w:hAnsi="Helvetica"/>
        </w:rPr>
        <w:t xml:space="preserve"> </w:t>
      </w:r>
      <w:r w:rsidRPr="00170862">
        <w:rPr>
          <w:rFonts w:ascii="Helvetica" w:hAnsi="Helvetica"/>
        </w:rPr>
        <w:t>P.O.A</w:t>
      </w:r>
    </w:p>
    <w:p w14:paraId="2F3B9531" w14:textId="736C470B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Crucifixion#2</w:t>
      </w:r>
      <w:r w:rsidRPr="00170862">
        <w:rPr>
          <w:rFonts w:ascii="Helvetica" w:hAnsi="Helvetica"/>
        </w:rPr>
        <w:t xml:space="preserve"> acrylic on wood, 193 x 170 x 2.5 cm </w:t>
      </w:r>
      <w:r>
        <w:rPr>
          <w:rFonts w:ascii="Helvetica" w:hAnsi="Helvetica"/>
        </w:rPr>
        <w:t xml:space="preserve">                             </w:t>
      </w:r>
      <w:r w:rsidR="00A55E65">
        <w:rPr>
          <w:rFonts w:ascii="Helvetica" w:hAnsi="Helvetica"/>
        </w:rPr>
        <w:t xml:space="preserve">  </w:t>
      </w:r>
      <w:r w:rsidRPr="00170862">
        <w:rPr>
          <w:rFonts w:ascii="Helvetica" w:hAnsi="Helvetica"/>
        </w:rPr>
        <w:t>P.O.A</w:t>
      </w:r>
    </w:p>
    <w:p w14:paraId="1BD73C2A" w14:textId="61CC850C" w:rsidR="00170862" w:rsidRPr="00170862" w:rsidRDefault="00170862" w:rsidP="00170862">
      <w:pPr>
        <w:pStyle w:val="ListParagraph"/>
        <w:numPr>
          <w:ilvl w:val="0"/>
          <w:numId w:val="3"/>
        </w:numPr>
        <w:spacing w:after="360" w:line="480" w:lineRule="auto"/>
        <w:ind w:left="714" w:hanging="357"/>
        <w:rPr>
          <w:rFonts w:ascii="Helvetica" w:hAnsi="Helvetica"/>
        </w:rPr>
      </w:pPr>
      <w:r w:rsidRPr="00A55E65">
        <w:rPr>
          <w:rFonts w:ascii="Helvetica" w:hAnsi="Helvetica"/>
          <w:b/>
          <w:i/>
        </w:rPr>
        <w:t>Shifting Perspectives-Discourse</w:t>
      </w:r>
      <w:r w:rsidRPr="00A55E65">
        <w:rPr>
          <w:rFonts w:ascii="Helvetica" w:hAnsi="Helvetica"/>
          <w:b/>
        </w:rPr>
        <w:t xml:space="preserve"> </w:t>
      </w:r>
      <w:r w:rsidRPr="00170862">
        <w:rPr>
          <w:rFonts w:ascii="Helvetica" w:hAnsi="Helvetica"/>
        </w:rPr>
        <w:t xml:space="preserve">acrylic on canvas 244x180cm </w:t>
      </w:r>
      <w:r>
        <w:rPr>
          <w:rFonts w:ascii="Helvetica" w:hAnsi="Helvetica"/>
        </w:rPr>
        <w:t xml:space="preserve">         </w:t>
      </w:r>
      <w:r w:rsidRPr="00170862">
        <w:rPr>
          <w:rFonts w:ascii="Helvetica" w:hAnsi="Helvetica"/>
        </w:rPr>
        <w:t>P.O.A</w:t>
      </w:r>
    </w:p>
    <w:p w14:paraId="086A9F4C" w14:textId="77777777" w:rsidR="00792319" w:rsidRPr="00792319" w:rsidRDefault="00792319" w:rsidP="006D2B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US"/>
        </w:rPr>
      </w:pPr>
    </w:p>
    <w:sectPr w:rsidR="00792319" w:rsidRPr="00792319" w:rsidSect="001D00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DAB70" w14:textId="77777777" w:rsidR="00170862" w:rsidRDefault="00170862" w:rsidP="003D5714">
      <w:r>
        <w:separator/>
      </w:r>
    </w:p>
  </w:endnote>
  <w:endnote w:type="continuationSeparator" w:id="0">
    <w:p w14:paraId="38231040" w14:textId="77777777" w:rsidR="00170862" w:rsidRDefault="00170862" w:rsidP="003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2EBCD" w14:textId="77777777" w:rsidR="00170862" w:rsidRDefault="00170862" w:rsidP="003D5714">
      <w:r>
        <w:separator/>
      </w:r>
    </w:p>
  </w:footnote>
  <w:footnote w:type="continuationSeparator" w:id="0">
    <w:p w14:paraId="18DBE065" w14:textId="77777777" w:rsidR="00170862" w:rsidRDefault="00170862" w:rsidP="003D5714">
      <w:r>
        <w:continuationSeparator/>
      </w:r>
    </w:p>
  </w:footnote>
  <w:footnote w:id="1">
    <w:p w14:paraId="6D488181" w14:textId="602E2F0C" w:rsidR="00170862" w:rsidRPr="005251C6" w:rsidRDefault="00170862" w:rsidP="003D5714">
      <w:pPr>
        <w:rPr>
          <w:rFonts w:ascii="Arial" w:eastAsia="Times New Roman" w:hAnsi="Arial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Bhabha</w:t>
      </w:r>
      <w:proofErr w:type="spellEnd"/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, H. K. (2010). </w:t>
      </w:r>
      <w:proofErr w:type="gramStart"/>
      <w:r w:rsidRPr="005251C6">
        <w:rPr>
          <w:rFonts w:ascii="Arial" w:eastAsia="Times New Roman" w:hAnsi="Arial" w:cs="Times New Roman"/>
          <w:i/>
          <w:iCs/>
          <w:color w:val="000000"/>
          <w:sz w:val="20"/>
          <w:szCs w:val="20"/>
          <w:shd w:val="clear" w:color="auto" w:fill="FFFFFF"/>
        </w:rPr>
        <w:t>The location of culture</w:t>
      </w:r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 London. </w:t>
      </w:r>
      <w:proofErr w:type="spellStart"/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Routledge</w:t>
      </w:r>
      <w:proofErr w:type="spellEnd"/>
      <w:r w:rsidRPr="005251C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.</w:t>
      </w:r>
    </w:p>
    <w:p w14:paraId="597D7DAF" w14:textId="71E5152F" w:rsidR="00170862" w:rsidRPr="003D5714" w:rsidRDefault="00170862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3C1"/>
    <w:multiLevelType w:val="hybridMultilevel"/>
    <w:tmpl w:val="A216A690"/>
    <w:lvl w:ilvl="0" w:tplc="535A074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E4B67"/>
    <w:multiLevelType w:val="hybridMultilevel"/>
    <w:tmpl w:val="EC9EF0E4"/>
    <w:lvl w:ilvl="0" w:tplc="C46A87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62CEA"/>
    <w:multiLevelType w:val="hybridMultilevel"/>
    <w:tmpl w:val="DA162BF2"/>
    <w:lvl w:ilvl="0" w:tplc="FF726E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6"/>
    <w:rsid w:val="00023ADE"/>
    <w:rsid w:val="000750A8"/>
    <w:rsid w:val="00086CF9"/>
    <w:rsid w:val="000F7E96"/>
    <w:rsid w:val="00170862"/>
    <w:rsid w:val="001D00B0"/>
    <w:rsid w:val="00267269"/>
    <w:rsid w:val="002A6D83"/>
    <w:rsid w:val="00354900"/>
    <w:rsid w:val="003B4BC4"/>
    <w:rsid w:val="003D251E"/>
    <w:rsid w:val="003D5714"/>
    <w:rsid w:val="00410E14"/>
    <w:rsid w:val="00517ABA"/>
    <w:rsid w:val="005251C6"/>
    <w:rsid w:val="005800C9"/>
    <w:rsid w:val="006D2B09"/>
    <w:rsid w:val="00792319"/>
    <w:rsid w:val="007F65B6"/>
    <w:rsid w:val="008C0D0F"/>
    <w:rsid w:val="008D766F"/>
    <w:rsid w:val="00923525"/>
    <w:rsid w:val="009D4465"/>
    <w:rsid w:val="00A463A2"/>
    <w:rsid w:val="00A5335F"/>
    <w:rsid w:val="00A55E65"/>
    <w:rsid w:val="00B8499A"/>
    <w:rsid w:val="00BB192E"/>
    <w:rsid w:val="00BB3037"/>
    <w:rsid w:val="00D0386A"/>
    <w:rsid w:val="00D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4C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E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D5714"/>
  </w:style>
  <w:style w:type="character" w:customStyle="1" w:styleId="FootnoteTextChar">
    <w:name w:val="Footnote Text Char"/>
    <w:basedOn w:val="DefaultParagraphFont"/>
    <w:link w:val="FootnoteText"/>
    <w:uiPriority w:val="99"/>
    <w:rsid w:val="003D5714"/>
  </w:style>
  <w:style w:type="character" w:styleId="FootnoteReference">
    <w:name w:val="footnote reference"/>
    <w:basedOn w:val="DefaultParagraphFont"/>
    <w:uiPriority w:val="99"/>
    <w:unhideWhenUsed/>
    <w:rsid w:val="003D571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D57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E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D5714"/>
  </w:style>
  <w:style w:type="character" w:customStyle="1" w:styleId="FootnoteTextChar">
    <w:name w:val="Footnote Text Char"/>
    <w:basedOn w:val="DefaultParagraphFont"/>
    <w:link w:val="FootnoteText"/>
    <w:uiPriority w:val="99"/>
    <w:rsid w:val="003D5714"/>
  </w:style>
  <w:style w:type="character" w:styleId="FootnoteReference">
    <w:name w:val="footnote reference"/>
    <w:basedOn w:val="DefaultParagraphFont"/>
    <w:uiPriority w:val="99"/>
    <w:unhideWhenUsed/>
    <w:rsid w:val="003D571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D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3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2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7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Macintosh Word</Application>
  <DocSecurity>0</DocSecurity>
  <Lines>25</Lines>
  <Paragraphs>7</Paragraphs>
  <ScaleCrop>false</ScaleCrop>
  <Company>Sunshades Eyewear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Wagner</dc:creator>
  <cp:keywords/>
  <dc:description/>
  <cp:lastModifiedBy>Courtney Wagner</cp:lastModifiedBy>
  <cp:revision>2</cp:revision>
  <cp:lastPrinted>2018-04-12T01:17:00Z</cp:lastPrinted>
  <dcterms:created xsi:type="dcterms:W3CDTF">2018-04-18T06:27:00Z</dcterms:created>
  <dcterms:modified xsi:type="dcterms:W3CDTF">2018-04-18T06:27:00Z</dcterms:modified>
</cp:coreProperties>
</file>